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left="10773" w:right="-103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Додаток 2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left="10773" w:right="-103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д</w:t>
      </w:r>
      <w:r>
        <w:rPr>
          <w:rFonts w:ascii="Times New Roman" w:hAnsi="Times New Roman"/>
          <w:color w:val="333333"/>
        </w:rPr>
        <w:t xml:space="preserve">о Антикорупційної програми Національної соціальної сервісної </w:t>
        <w:br w:type="textWrapping"/>
        <w:t>служби України на 2024 – 2026 р</w:t>
      </w:r>
      <w:r>
        <w:rPr>
          <w:rFonts w:ascii="Times New Roman" w:hAnsi="Times New Roman"/>
          <w:color w:val="333333"/>
        </w:rPr>
        <w:t>оки</w:t>
      </w:r>
      <w:r>
        <w:rPr>
          <w:rFonts w:ascii="Times New Roman" w:hAnsi="Times New Roman"/>
          <w:color w:val="333333"/>
        </w:rPr>
        <w:t xml:space="preserve">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left="10773" w:right="-103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(розділ ІІІ</w:t>
      </w:r>
      <w:r>
        <w:rPr>
          <w:rFonts w:ascii="Times New Roman" w:hAnsi="Times New Roman"/>
          <w:color w:val="333333"/>
        </w:rPr>
        <w:t>.</w:t>
      </w:r>
      <w:r>
        <w:rPr>
          <w:rFonts w:ascii="Times New Roman" w:hAnsi="Times New Roman"/>
          <w:color w:val="333333"/>
        </w:rPr>
        <w:t>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left="10773" w:right="-103"/>
        <w:rPr>
          <w:rFonts w:ascii="Times New Roman" w:hAnsi="Times New Roman"/>
          <w:color w:val="333333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right="-103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Програма навчання з питань запобігання і протидії корупції </w:t>
        <w:br w:type="textWrapping"/>
        <w:t>у Національній соціальній сервісній службі України</w:t>
      </w:r>
      <w:r>
        <w:rPr>
          <w:rFonts w:ascii="Times New Roman" w:hAnsi="Times New Roman"/>
          <w:color w:val="333333"/>
        </w:rPr>
        <w:t xml:space="preserve">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before="240" w:beforeAutospacing="0" w:afterAutospacing="0"/>
        <w:ind w:firstLine="567" w:right="-103"/>
        <w:jc w:val="both"/>
        <w:rPr>
          <w:rFonts w:ascii="Times New Roman" w:hAnsi="Times New Roman"/>
          <w:color w:val="333333"/>
        </w:rPr>
      </w:pPr>
    </w:p>
    <w:tbl>
      <w:tblPr>
        <w:tblStyle w:val="T4"/>
        <w:tblW w:w="14988" w:type="dxa"/>
        <w:tblInd w:w="45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400"/>
      </w:tblPr>
      <w:tblGrid/>
      <w:tr>
        <w:tc>
          <w:tcPr>
            <w:tcW w:w="51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before="240" w:beforeAutospacing="0" w:afterAutospacing="0"/>
              <w:ind w:right="-103"/>
              <w:jc w:val="center"/>
              <w:rPr>
                <w:rFonts w:ascii="Times New Roman" w:hAnsi="Times New Roman"/>
                <w:b w:val="1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highlight w:val="white"/>
              </w:rPr>
              <w:t>№</w:t>
            </w:r>
          </w:p>
        </w:tc>
        <w:tc>
          <w:tcPr>
            <w:tcW w:w="469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before="240" w:beforeAutospacing="0" w:afterAutospacing="0"/>
              <w:ind w:right="-103"/>
              <w:jc w:val="center"/>
              <w:rPr>
                <w:rFonts w:ascii="Times New Roman" w:hAnsi="Times New Roman"/>
                <w:b w:val="1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Тема навчального заходу</w:t>
            </w:r>
          </w:p>
        </w:tc>
        <w:tc>
          <w:tcPr>
            <w:tcW w:w="2552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before="240" w:beforeAutospacing="0" w:afterAutospacing="0"/>
              <w:ind w:right="-103"/>
              <w:jc w:val="center"/>
              <w:rPr>
                <w:rFonts w:ascii="Times New Roman" w:hAnsi="Times New Roman"/>
                <w:b w:val="1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highlight w:val="white"/>
              </w:rPr>
              <w:t>Термін проведення навчального заходу</w:t>
            </w:r>
          </w:p>
        </w:tc>
        <w:tc>
          <w:tcPr>
            <w:tcW w:w="155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before="240" w:beforeAutospacing="0" w:afterAutospacing="0"/>
              <w:ind w:right="-103"/>
              <w:jc w:val="center"/>
              <w:rPr>
                <w:rFonts w:ascii="Times New Roman" w:hAnsi="Times New Roman"/>
                <w:b w:val="1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highlight w:val="white"/>
              </w:rPr>
              <w:t>Форма проведення навчального заходу</w:t>
            </w:r>
          </w:p>
        </w:tc>
        <w:tc>
          <w:tcPr>
            <w:tcW w:w="297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before="240" w:beforeAutospacing="0" w:afterAutospacing="0"/>
              <w:ind w:right="-103"/>
              <w:jc w:val="center"/>
              <w:rPr>
                <w:rFonts w:ascii="Times New Roman" w:hAnsi="Times New Roman"/>
                <w:b w:val="1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highlight w:val="white"/>
              </w:rPr>
              <w:t xml:space="preserve">Цільова аудиторія </w:t>
            </w:r>
          </w:p>
        </w:tc>
        <w:tc>
          <w:tcPr>
            <w:tcW w:w="269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before="240" w:beforeAutospacing="0" w:afterAutospacing="0"/>
              <w:ind w:right="-103"/>
              <w:jc w:val="center"/>
              <w:rPr>
                <w:rFonts w:ascii="Times New Roman" w:hAnsi="Times New Roman"/>
                <w:b w:val="1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highlight w:val="white"/>
              </w:rPr>
              <w:t xml:space="preserve">Особа(и), відповідальна(і) за проведення навчального заходу </w:t>
            </w:r>
          </w:p>
        </w:tc>
      </w:tr>
      <w:tr>
        <w:trPr>
          <w:trHeight w:hRule="atLeast" w:val="1151"/>
        </w:trPr>
        <w:tc>
          <w:tcPr>
            <w:tcW w:w="51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1.</w:t>
            </w:r>
          </w:p>
        </w:tc>
        <w:tc>
          <w:tcPr>
            <w:tcW w:w="469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</w:rPr>
              <w:t>Дотримання вимог антикорупційного законодавства та внутрішніх антикорупційних політик Нацсоцслужби</w:t>
            </w:r>
          </w:p>
        </w:tc>
        <w:tc>
          <w:tcPr>
            <w:tcW w:w="2552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після призначення / перед звільненням на посади в Нацсоцслужбі</w:t>
            </w:r>
          </w:p>
        </w:tc>
        <w:tc>
          <w:tcPr>
            <w:tcW w:w="155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</w:rPr>
              <w:t>інструктаж</w:t>
            </w:r>
          </w:p>
        </w:tc>
        <w:tc>
          <w:tcPr>
            <w:tcW w:w="297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працівники апарату, територіальних органів Нацсоцслужби</w:t>
            </w:r>
          </w:p>
        </w:tc>
        <w:tc>
          <w:tcPr>
            <w:tcW w:w="269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Уповноважена особа з питань запобігання та виявлення корупції апарату, територіальних органів Нацсоцслужби</w:t>
            </w:r>
          </w:p>
        </w:tc>
      </w:tr>
      <w:tr>
        <w:trPr>
          <w:trHeight w:hRule="atLeast" w:val="1267"/>
        </w:trPr>
        <w:tc>
          <w:tcPr>
            <w:tcW w:w="51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2.</w:t>
            </w:r>
          </w:p>
        </w:tc>
        <w:tc>
          <w:tcPr>
            <w:tcW w:w="469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Все про антикорупцію для публічних службовців: </w:t>
            </w:r>
            <w:hyperlink xmlns:r="http://schemas.openxmlformats.org/officeDocument/2006/relationships" r:id="R2">
              <w:r>
                <w:rPr>
                  <w:rFonts w:ascii="Times New Roman" w:hAnsi="Times New Roman"/>
                  <w:color w:val="0563C1"/>
                  <w:u w:val="single"/>
                </w:rPr>
                <w:t>https://shorturl.at/uvKY5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552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протягом трьох місяців після призначення на посаду в Нацсоцслужбі</w:t>
            </w:r>
          </w:p>
        </w:tc>
        <w:tc>
          <w:tcPr>
            <w:tcW w:w="155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онлайн курс</w:t>
            </w:r>
          </w:p>
        </w:tc>
        <w:tc>
          <w:tcPr>
            <w:tcW w:w="297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працівники апарату, територіальних органів Нацсоцслужби</w:t>
            </w:r>
          </w:p>
        </w:tc>
        <w:tc>
          <w:tcPr>
            <w:tcW w:w="269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Уповноважена особа з питань запобігання та виявлення корупції апарату</w:t>
            </w:r>
            <w:r>
              <w:rPr>
                <w:rFonts w:ascii="Times New Roman" w:hAnsi="Times New Roman"/>
                <w:color w:val="000000"/>
                <w:highlight w:val="white"/>
              </w:rPr>
              <w:t>,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територіальних органів Нацсоцслужби</w:t>
            </w:r>
            <w:r>
              <w:rPr>
                <w:rStyle w:val="C8"/>
                <w:rFonts w:ascii="Times New Roman" w:hAnsi="Times New Roman"/>
                <w:color w:val="000000"/>
                <w:highlight w:val="white"/>
              </w:rPr>
              <w:t xml:space="preserve"> </w:t>
            </w:r>
            <w:r>
              <w:rPr>
                <w:rStyle w:val="C8"/>
                <w:rFonts w:ascii="Times New Roman" w:hAnsi="Times New Roman"/>
                <w:color w:val="000000"/>
                <w:highlight w:val="white"/>
              </w:rPr>
              <w:endnoteReference w:id="1"/>
            </w:r>
          </w:p>
        </w:tc>
      </w:tr>
      <w:tr>
        <w:trPr>
          <w:trHeight w:hRule="atLeast" w:val="999"/>
        </w:trPr>
        <w:tc>
          <w:tcPr>
            <w:tcW w:w="51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690" w:type="dxa"/>
          </w:tcPr>
          <w:p>
            <w:pPr>
              <w:shd w:val="clear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Особливості заповнення декларацій осіб, уповноважених на виконання функцій держави або місцевого самоврядування</w:t>
            </w:r>
          </w:p>
        </w:tc>
        <w:tc>
          <w:tcPr>
            <w:tcW w:w="2552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І квартал 2025, 2026</w:t>
            </w:r>
          </w:p>
        </w:tc>
        <w:tc>
          <w:tcPr>
            <w:tcW w:w="155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онлайн тренінг</w:t>
            </w:r>
          </w:p>
        </w:tc>
        <w:tc>
          <w:tcPr>
            <w:tcW w:w="297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працівники апарату, територіальних органів Нацсоцслужби</w:t>
            </w:r>
          </w:p>
        </w:tc>
        <w:tc>
          <w:tcPr>
            <w:tcW w:w="269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Уповноважена особа з питань запобігання та виявлення корупції апарату Нацсоцслужби</w:t>
            </w:r>
          </w:p>
        </w:tc>
      </w:tr>
      <w:tr>
        <w:trPr>
          <w:trHeight w:hRule="atLeast" w:val="315"/>
        </w:trPr>
        <w:tc>
          <w:tcPr>
            <w:tcW w:w="51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4.</w:t>
            </w:r>
          </w:p>
        </w:tc>
        <w:tc>
          <w:tcPr>
            <w:tcW w:w="4690" w:type="dxa"/>
          </w:tcPr>
          <w:p>
            <w:pPr>
              <w:shd w:val="clear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Декларуйся!: </w:t>
            </w:r>
            <w:hyperlink xmlns:r="http://schemas.openxmlformats.org/officeDocument/2006/relationships" r:id="R3">
              <w:r>
                <w:rPr>
                  <w:rStyle w:val="C2"/>
                  <w:rFonts w:ascii="Times New Roman" w:hAnsi="Times New Roman"/>
                </w:rPr>
                <w:t>https://shorturl.at/Fgw04</w:t>
              </w:r>
            </w:hyperlink>
          </w:p>
        </w:tc>
        <w:tc>
          <w:tcPr>
            <w:tcW w:w="2552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І квартал 2025</w:t>
            </w:r>
            <w:r>
              <w:rPr>
                <w:rFonts w:ascii="Times New Roman" w:hAnsi="Times New Roman"/>
                <w:color w:val="000000"/>
                <w:highlight w:val="white"/>
              </w:rPr>
              <w:t>,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2026</w:t>
            </w:r>
            <w:r>
              <w:rPr>
                <w:rStyle w:val="C8"/>
                <w:rFonts w:ascii="Times New Roman" w:hAnsi="Times New Roman"/>
                <w:color w:val="000000"/>
                <w:highlight w:val="white"/>
              </w:rPr>
              <w:endnoteReference w:id="2"/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</w:t>
            </w:r>
          </w:p>
        </w:tc>
        <w:tc>
          <w:tcPr>
            <w:tcW w:w="155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онлайн курс</w:t>
            </w:r>
          </w:p>
        </w:tc>
        <w:tc>
          <w:tcPr>
            <w:tcW w:w="297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працівники апарату, територіальних органів Нацсоцслужби</w:t>
            </w:r>
          </w:p>
        </w:tc>
        <w:tc>
          <w:tcPr>
            <w:tcW w:w="269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Уповноважена особа з питань запобігання та виявлення корупції апарату, територіальних органів Нацсоцслужби</w:t>
            </w:r>
            <w:r>
              <w:rPr>
                <w:rFonts w:ascii="Times New Roman" w:hAnsi="Times New Roman"/>
                <w:color w:val="000000"/>
                <w:highlight w:val="white"/>
                <w:vertAlign w:val="superscript"/>
              </w:rPr>
              <w:t>1</w:t>
            </w:r>
          </w:p>
        </w:tc>
      </w:tr>
      <w:tr>
        <w:tc>
          <w:tcPr>
            <w:tcW w:w="51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5.</w:t>
            </w:r>
          </w:p>
        </w:tc>
        <w:tc>
          <w:tcPr>
            <w:tcW w:w="4690" w:type="dxa"/>
          </w:tcPr>
          <w:p>
            <w:pPr>
              <w:shd w:val="clear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Конфлікт інтересів в житті публічних службовців: </w:t>
            </w:r>
            <w:hyperlink xmlns:r="http://schemas.openxmlformats.org/officeDocument/2006/relationships" r:id="R4">
              <w:r>
                <w:rPr>
                  <w:rFonts w:ascii="Times New Roman" w:hAnsi="Times New Roman"/>
                  <w:color w:val="0563C1"/>
                  <w:u w:val="single"/>
                </w:rPr>
                <w:t>https://shorturl.at/noX19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552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ІІ квартал 2025 / протягом трьох місяців після призначення на посаду в Нацсоцслужбі</w:t>
            </w:r>
          </w:p>
        </w:tc>
        <w:tc>
          <w:tcPr>
            <w:tcW w:w="155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</w:rPr>
              <w:t>онлайн курс</w:t>
            </w:r>
          </w:p>
        </w:tc>
        <w:tc>
          <w:tcPr>
            <w:tcW w:w="297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працівники апарату, територіальних органів Нацсоцслужби</w:t>
            </w:r>
          </w:p>
        </w:tc>
        <w:tc>
          <w:tcPr>
            <w:tcW w:w="269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Уповноважена особа з питань запобігання та виявлення корупції апарату, територіальних органів Нацсоцслужби</w:t>
            </w:r>
            <w:r>
              <w:rPr>
                <w:rFonts w:ascii="Times New Roman" w:hAnsi="Times New Roman"/>
                <w:color w:val="000000"/>
                <w:highlight w:val="white"/>
                <w:vertAlign w:val="superscript"/>
              </w:rPr>
              <w:t>1</w:t>
            </w:r>
          </w:p>
        </w:tc>
      </w:tr>
      <w:tr>
        <w:tc>
          <w:tcPr>
            <w:tcW w:w="51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6.</w:t>
            </w:r>
          </w:p>
        </w:tc>
        <w:tc>
          <w:tcPr>
            <w:tcW w:w="4690" w:type="dxa"/>
          </w:tcPr>
          <w:p>
            <w:pPr>
              <w:shd w:val="clear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Запобігання та врегулювання конфлікту інтересів</w:t>
            </w:r>
          </w:p>
        </w:tc>
        <w:tc>
          <w:tcPr>
            <w:tcW w:w="2552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ІІ квартал 2026</w:t>
            </w:r>
          </w:p>
        </w:tc>
        <w:tc>
          <w:tcPr>
            <w:tcW w:w="155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онлайн тренінг</w:t>
            </w:r>
          </w:p>
        </w:tc>
        <w:tc>
          <w:tcPr>
            <w:tcW w:w="297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працівники апарату, територіальних органів Нацсоцслужби</w:t>
            </w:r>
          </w:p>
        </w:tc>
        <w:tc>
          <w:tcPr>
            <w:tcW w:w="269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Уповноважена особа з питань запобігання та виявлення корупції апарату Нацсоцслужби</w:t>
            </w:r>
          </w:p>
        </w:tc>
      </w:tr>
      <w:tr>
        <w:trPr>
          <w:trHeight w:hRule="atLeast" w:val="840"/>
        </w:trPr>
        <w:tc>
          <w:tcPr>
            <w:tcW w:w="51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7.</w:t>
            </w:r>
          </w:p>
        </w:tc>
        <w:tc>
          <w:tcPr>
            <w:tcW w:w="469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Розбудова доброчесний організацій: </w:t>
            </w:r>
            <w:hyperlink xmlns:r="http://schemas.openxmlformats.org/officeDocument/2006/relationships" r:id="R5">
              <w:r>
                <w:rPr>
                  <w:rStyle w:val="C2"/>
                  <w:rFonts w:ascii="Times New Roman" w:hAnsi="Times New Roman"/>
                </w:rPr>
                <w:t>https://shorturl.at/di6f4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552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І квартал 2025 / протягом трьох місяців після призначення на посаду в Нацсоцслужбі</w:t>
            </w:r>
          </w:p>
        </w:tc>
        <w:tc>
          <w:tcPr>
            <w:tcW w:w="155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</w:rPr>
              <w:t>онлайн курс</w:t>
            </w:r>
          </w:p>
        </w:tc>
        <w:tc>
          <w:tcPr>
            <w:tcW w:w="297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керівники територіальних органів Нацсоцслужби</w:t>
            </w:r>
          </w:p>
        </w:tc>
        <w:tc>
          <w:tcPr>
            <w:tcW w:w="269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Уповноважена особа з питань запобігання та виявлення корупції апарату, територіальних органів Нацсоцслужби</w:t>
            </w:r>
            <w:r>
              <w:rPr>
                <w:rFonts w:ascii="Times New Roman" w:hAnsi="Times New Roman"/>
                <w:color w:val="000000"/>
                <w:highlight w:val="white"/>
                <w:vertAlign w:val="superscript"/>
              </w:rPr>
              <w:t>1</w:t>
            </w:r>
          </w:p>
        </w:tc>
      </w:tr>
      <w:tr>
        <w:trPr>
          <w:trHeight w:hRule="atLeast" w:val="1405"/>
        </w:trPr>
        <w:tc>
          <w:tcPr>
            <w:tcW w:w="51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8.</w:t>
            </w:r>
          </w:p>
        </w:tc>
        <w:tc>
          <w:tcPr>
            <w:tcW w:w="469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Обмеження щодо використання службових повноважень чи свого становища. Обмеження щодо суміщення з іншими видами діяльності. Обмеження спільної роботи близьких осіб</w:t>
            </w:r>
          </w:p>
        </w:tc>
        <w:tc>
          <w:tcPr>
            <w:tcW w:w="2552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ІІІ квартал 2025</w:t>
            </w:r>
          </w:p>
        </w:tc>
        <w:tc>
          <w:tcPr>
            <w:tcW w:w="155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онлайн тренінг</w:t>
            </w:r>
          </w:p>
        </w:tc>
        <w:tc>
          <w:tcPr>
            <w:tcW w:w="297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працівники апарату, територіальних органів Нацсоцслужби</w:t>
            </w:r>
          </w:p>
        </w:tc>
        <w:tc>
          <w:tcPr>
            <w:tcW w:w="269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Уповноважена особа з питань запобігання та виявлення корупції апарату Нацсоцслужби</w:t>
            </w:r>
          </w:p>
        </w:tc>
      </w:tr>
      <w:tr>
        <w:trPr>
          <w:trHeight w:hRule="atLeast" w:val="1553"/>
        </w:trPr>
        <w:tc>
          <w:tcPr>
            <w:tcW w:w="51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9.</w:t>
            </w:r>
          </w:p>
        </w:tc>
        <w:tc>
          <w:tcPr>
            <w:tcW w:w="469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Обмеження щодо одержання подарунків. Запобігання одержанню неправомірної вигоди або подарунка та поводження з ними. 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Заборона на одержання пільг, послуг і майна органами державної влади </w:t>
            </w:r>
          </w:p>
        </w:tc>
        <w:tc>
          <w:tcPr>
            <w:tcW w:w="2552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ІІІ квартал 2025</w:t>
            </w:r>
          </w:p>
        </w:tc>
        <w:tc>
          <w:tcPr>
            <w:tcW w:w="155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онлайн тренінг</w:t>
            </w:r>
          </w:p>
        </w:tc>
        <w:tc>
          <w:tcPr>
            <w:tcW w:w="297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працівники апарату, територіальних органів Нацсоцслужби</w:t>
            </w:r>
          </w:p>
        </w:tc>
        <w:tc>
          <w:tcPr>
            <w:tcW w:w="269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Уповноважена особа з питань запобігання та виявлення корупції апарату Нацсоцслужби</w:t>
            </w:r>
          </w:p>
        </w:tc>
      </w:tr>
      <w:tr>
        <w:tc>
          <w:tcPr>
            <w:tcW w:w="51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10.</w:t>
            </w:r>
          </w:p>
        </w:tc>
        <w:tc>
          <w:tcPr>
            <w:tcW w:w="469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Доброчесна державна служба: </w:t>
            </w:r>
            <w:hyperlink xmlns:r="http://schemas.openxmlformats.org/officeDocument/2006/relationships" r:id="R6">
              <w:r>
                <w:rPr>
                  <w:rFonts w:ascii="Times New Roman" w:hAnsi="Times New Roman"/>
                  <w:color w:val="0563C1"/>
                  <w:u w:val="single"/>
                </w:rPr>
                <w:t>https://shorturl.at/gioFL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552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І</w:t>
            </w:r>
            <w:r>
              <w:rPr>
                <w:rFonts w:ascii="Times New Roman" w:hAnsi="Times New Roman"/>
                <w:highlight w:val="white"/>
              </w:rPr>
              <w:t>V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квартал 2024 / протягом трьох місяців після призначення на посаду в Нацсоцслужбі</w:t>
            </w:r>
          </w:p>
        </w:tc>
        <w:tc>
          <w:tcPr>
            <w:tcW w:w="155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</w:rPr>
              <w:t>онлайн курс</w:t>
            </w:r>
          </w:p>
        </w:tc>
        <w:tc>
          <w:tcPr>
            <w:tcW w:w="297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працівники апарату, територіальних органів Нацсоцслужби</w:t>
            </w:r>
          </w:p>
        </w:tc>
        <w:tc>
          <w:tcPr>
            <w:tcW w:w="269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Уповноважена особа з питань запобігання та виявлення корупції апарату, територіальних органів Нацсоцслужби</w:t>
            </w:r>
            <w:r>
              <w:rPr>
                <w:rFonts w:ascii="Times New Roman" w:hAnsi="Times New Roman"/>
                <w:color w:val="000000"/>
                <w:highlight w:val="white"/>
                <w:vertAlign w:val="superscript"/>
              </w:rPr>
              <w:t>1</w:t>
            </w:r>
          </w:p>
        </w:tc>
      </w:tr>
      <w:tr>
        <w:tc>
          <w:tcPr>
            <w:tcW w:w="51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11.</w:t>
            </w:r>
          </w:p>
        </w:tc>
        <w:tc>
          <w:tcPr>
            <w:tcW w:w="469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 xml:space="preserve">Впливай – викривай! </w:t>
            </w:r>
            <w:hyperlink xmlns:r="http://schemas.openxmlformats.org/officeDocument/2006/relationships" r:id="R7">
              <w:r>
                <w:rPr>
                  <w:rFonts w:ascii="Times New Roman" w:hAnsi="Times New Roman"/>
                  <w:color w:val="0563C1"/>
                  <w:u w:val="single"/>
                  <w:highlight w:val="white"/>
                </w:rPr>
                <w:t>https://shorturl.at/evO37</w:t>
              </w:r>
            </w:hyperlink>
            <w:r>
              <w:rPr>
                <w:rFonts w:ascii="Times New Roman" w:hAnsi="Times New Roman"/>
                <w:color w:val="000000"/>
                <w:highlight w:val="white"/>
              </w:rPr>
              <w:t xml:space="preserve"> </w:t>
            </w:r>
          </w:p>
        </w:tc>
        <w:tc>
          <w:tcPr>
            <w:tcW w:w="2552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IІ квартал 2025 / протягом п’яти місяців після призначення на посаду в Нацсоцслужбі</w:t>
            </w:r>
          </w:p>
        </w:tc>
        <w:tc>
          <w:tcPr>
            <w:tcW w:w="155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</w:rPr>
              <w:t>онлайн курс</w:t>
            </w:r>
          </w:p>
        </w:tc>
        <w:tc>
          <w:tcPr>
            <w:tcW w:w="297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працівники апарату, територіальних органів Нацсоцслужби</w:t>
            </w:r>
          </w:p>
        </w:tc>
        <w:tc>
          <w:tcPr>
            <w:tcW w:w="269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Уповноважена особа з питань запобігання та виявлення корупції апарату, територіальних органів Нацсоцслужби</w:t>
            </w:r>
            <w:r>
              <w:rPr>
                <w:rFonts w:ascii="Times New Roman" w:hAnsi="Times New Roman"/>
                <w:color w:val="000000"/>
                <w:highlight w:val="white"/>
                <w:vertAlign w:val="superscript"/>
              </w:rPr>
              <w:t>1</w:t>
            </w:r>
          </w:p>
        </w:tc>
      </w:tr>
      <w:tr>
        <w:trPr>
          <w:trHeight w:hRule="atLeast" w:val="1123"/>
        </w:trPr>
        <w:tc>
          <w:tcPr>
            <w:tcW w:w="51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12.</w:t>
            </w:r>
          </w:p>
        </w:tc>
        <w:tc>
          <w:tcPr>
            <w:tcW w:w="469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Порядок повідомлення про можливі факти корупційних або пов’язаних з корупцією правопорушень, інших порушень Закону</w:t>
            </w:r>
          </w:p>
        </w:tc>
        <w:tc>
          <w:tcPr>
            <w:tcW w:w="2552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IV квартал 2025, 2026</w:t>
            </w:r>
          </w:p>
        </w:tc>
        <w:tc>
          <w:tcPr>
            <w:tcW w:w="155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онлайн тренінг</w:t>
            </w:r>
          </w:p>
        </w:tc>
        <w:tc>
          <w:tcPr>
            <w:tcW w:w="297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працівники апарату, територіальних органів Нацсоцслужби</w:t>
            </w:r>
          </w:p>
        </w:tc>
        <w:tc>
          <w:tcPr>
            <w:tcW w:w="269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Уповноважена особа з питань запобігання та виявлення корупції апарату Нацсоцслужби</w:t>
            </w:r>
          </w:p>
        </w:tc>
      </w:tr>
      <w:tr>
        <w:trPr>
          <w:trHeight w:hRule="atLeast" w:val="66"/>
        </w:trPr>
        <w:tc>
          <w:tcPr>
            <w:tcW w:w="51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13.</w:t>
            </w:r>
          </w:p>
        </w:tc>
        <w:tc>
          <w:tcPr>
            <w:tcW w:w="469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 xml:space="preserve">Викривач у законі: </w:t>
            </w:r>
            <w:hyperlink xmlns:r="http://schemas.openxmlformats.org/officeDocument/2006/relationships" r:id="R8">
              <w:r>
                <w:rPr>
                  <w:rFonts w:ascii="Times New Roman" w:hAnsi="Times New Roman"/>
                  <w:color w:val="0563C1"/>
                  <w:u w:val="single"/>
                  <w:highlight w:val="white"/>
                </w:rPr>
                <w:t>https://shorturl.at/oxEW6</w:t>
              </w:r>
            </w:hyperlink>
            <w:r>
              <w:rPr>
                <w:rFonts w:ascii="Times New Roman" w:hAnsi="Times New Roman"/>
                <w:color w:val="000000"/>
                <w:highlight w:val="white"/>
              </w:rPr>
              <w:t xml:space="preserve"> </w:t>
            </w:r>
          </w:p>
        </w:tc>
        <w:tc>
          <w:tcPr>
            <w:tcW w:w="2552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I квартал 202</w:t>
            </w:r>
            <w:r>
              <w:rPr>
                <w:rFonts w:ascii="Times New Roman" w:hAnsi="Times New Roman"/>
                <w:highlight w:val="white"/>
              </w:rPr>
              <w:t>5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/ протягом п’яти місяців після призначення на посаду в Нацсоцслужбі</w:t>
            </w:r>
          </w:p>
        </w:tc>
        <w:tc>
          <w:tcPr>
            <w:tcW w:w="155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</w:rPr>
              <w:t>онлайн курс</w:t>
            </w:r>
          </w:p>
        </w:tc>
        <w:tc>
          <w:tcPr>
            <w:tcW w:w="297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працівники апарату, територіальних органів Нацсоцслужби</w:t>
            </w:r>
          </w:p>
        </w:tc>
        <w:tc>
          <w:tcPr>
            <w:tcW w:w="269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Уповноважена особа з питань запобігання та виявлення корупції апарату, територіальних органів Нацсоцслужби</w:t>
            </w:r>
            <w:r>
              <w:rPr>
                <w:rFonts w:ascii="Times New Roman" w:hAnsi="Times New Roman"/>
                <w:color w:val="000000"/>
                <w:highlight w:val="white"/>
                <w:vertAlign w:val="superscript"/>
              </w:rPr>
              <w:t>1</w:t>
            </w:r>
          </w:p>
        </w:tc>
      </w:tr>
      <w:tr>
        <w:trPr>
          <w:trHeight w:hRule="atLeast" w:val="728"/>
        </w:trPr>
        <w:tc>
          <w:tcPr>
            <w:tcW w:w="51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14.</w:t>
            </w:r>
          </w:p>
        </w:tc>
        <w:tc>
          <w:tcPr>
            <w:tcW w:w="469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Права та гарантії захисту викривача</w:t>
            </w:r>
          </w:p>
        </w:tc>
        <w:tc>
          <w:tcPr>
            <w:tcW w:w="2552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IV квартал 2025, 2026</w:t>
            </w:r>
          </w:p>
        </w:tc>
        <w:tc>
          <w:tcPr>
            <w:tcW w:w="155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онлайн тренінг</w:t>
            </w:r>
          </w:p>
        </w:tc>
        <w:tc>
          <w:tcPr>
            <w:tcW w:w="297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працівники апарату, територіальних органів Нацсоцслужби</w:t>
            </w:r>
          </w:p>
        </w:tc>
        <w:tc>
          <w:tcPr>
            <w:tcW w:w="269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Уповноважена особа з питань запобігання та виявлення корупції апарату Нацсоцслужби</w:t>
            </w:r>
          </w:p>
        </w:tc>
      </w:tr>
      <w:tr>
        <w:trPr>
          <w:trHeight w:hRule="atLeast" w:val="824"/>
        </w:trPr>
        <w:tc>
          <w:tcPr>
            <w:tcW w:w="51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15.</w:t>
            </w:r>
          </w:p>
        </w:tc>
        <w:tc>
          <w:tcPr>
            <w:tcW w:w="469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Відповідальність за корупційні або пов’язані з корупцією правопорушення</w:t>
            </w:r>
          </w:p>
        </w:tc>
        <w:tc>
          <w:tcPr>
            <w:tcW w:w="2552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IІІ квартал 2026</w:t>
            </w:r>
          </w:p>
        </w:tc>
        <w:tc>
          <w:tcPr>
            <w:tcW w:w="155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онлайн тренінг</w:t>
            </w:r>
          </w:p>
        </w:tc>
        <w:tc>
          <w:tcPr>
            <w:tcW w:w="297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працівники апарату, територіальних органів Нацсоцслужби</w:t>
            </w:r>
          </w:p>
        </w:tc>
        <w:tc>
          <w:tcPr>
            <w:tcW w:w="269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Уповноважена особа з питань запобігання та виявлення корупції апарату Нацсоцслужби</w:t>
            </w:r>
          </w:p>
        </w:tc>
      </w:tr>
      <w:tr>
        <w:trPr>
          <w:trHeight w:hRule="atLeast" w:val="1014"/>
        </w:trPr>
        <w:tc>
          <w:tcPr>
            <w:tcW w:w="51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bookmarkStart w:id="0" w:name="_GoBack"/>
            <w:r>
              <w:rPr>
                <w:rFonts w:ascii="Times New Roman" w:hAnsi="Times New Roman"/>
                <w:color w:val="000000"/>
                <w:highlight w:val="white"/>
              </w:rPr>
              <w:t>16.</w:t>
            </w:r>
          </w:p>
        </w:tc>
        <w:tc>
          <w:tcPr>
            <w:tcW w:w="469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 xml:space="preserve">Знай хто твій контрагент: </w:t>
            </w:r>
            <w:hyperlink xmlns:r="http://schemas.openxmlformats.org/officeDocument/2006/relationships" r:id="R9">
              <w:r>
                <w:rPr>
                  <w:rStyle w:val="C2"/>
                  <w:rFonts w:ascii="Times New Roman" w:hAnsi="Times New Roman"/>
                </w:rPr>
                <w:t>https://shorturl.at/TsvZ7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552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I квартал 202</w:t>
            </w:r>
            <w:r>
              <w:rPr>
                <w:rFonts w:ascii="Times New Roman" w:hAnsi="Times New Roman"/>
                <w:highlight w:val="white"/>
              </w:rPr>
              <w:t xml:space="preserve">5 </w:t>
            </w:r>
            <w:r>
              <w:rPr>
                <w:rFonts w:ascii="Times New Roman" w:hAnsi="Times New Roman"/>
                <w:color w:val="000000"/>
                <w:highlight w:val="white"/>
              </w:rPr>
              <w:t>/ протягом двох місяців після призначення на посаду в Нацсоцслужбі</w:t>
            </w:r>
          </w:p>
        </w:tc>
        <w:tc>
          <w:tcPr>
            <w:tcW w:w="155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</w:rPr>
              <w:t>онлайн курс</w:t>
            </w:r>
          </w:p>
        </w:tc>
        <w:tc>
          <w:tcPr>
            <w:tcW w:w="297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highlight w:val="white"/>
              </w:rPr>
              <w:t>уповноважені особи із закупівель, уповноважені особи з питань запобігання та виявлення корупції апарату, територіальних органів Нацсоцслужби</w:t>
            </w:r>
          </w:p>
        </w:tc>
        <w:tc>
          <w:tcPr>
            <w:tcW w:w="269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ind w:right="-103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Уповноважена особа з питань запобігання та виявлення корупції апарату, територіальних органів Нацсоцслужби</w:t>
            </w:r>
            <w:r>
              <w:rPr>
                <w:rFonts w:ascii="Times New Roman" w:hAnsi="Times New Roman"/>
                <w:color w:val="000000"/>
                <w:highlight w:val="white"/>
                <w:vertAlign w:val="superscript"/>
              </w:rPr>
              <w:t>1</w:t>
            </w:r>
          </w:p>
        </w:tc>
      </w:tr>
    </w:tbl>
    <w:p>
      <w:pPr>
        <w:rPr>
          <w:rFonts w:ascii="Times New Roman" w:hAnsi="Times New Roman"/>
          <w:b w:val="1"/>
          <w:color w:val="000000"/>
        </w:rPr>
      </w:pPr>
      <w:bookmarkEnd w:id="0"/>
    </w:p>
    <w:p>
      <w:pPr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__________________________________</w:t>
      </w:r>
    </w:p>
    <w:p>
      <w:pPr>
        <w:rPr>
          <w:rFonts w:ascii="Times New Roman" w:hAnsi="Times New Roman"/>
          <w:b w:val="1"/>
          <w:color w:val="000000"/>
        </w:rPr>
      </w:pPr>
    </w:p>
    <w:p>
      <w:pPr>
        <w:rPr>
          <w:rFonts w:ascii="Times New Roman" w:hAnsi="Times New Roman"/>
          <w:b w:val="1"/>
          <w:color w:val="000000"/>
        </w:rPr>
      </w:pPr>
    </w:p>
    <w:p/>
    <w:sectPr>
      <w:headerReference xmlns:r="http://schemas.openxmlformats.org/officeDocument/2006/relationships" w:type="default" r:id="RelHdr1"/>
      <w:headerReference xmlns:r="http://schemas.openxmlformats.org/officeDocument/2006/relationships" w:type="even" r:id="RelHdr2"/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footnotePr/>
      <w:endnotePr>
        <w:numFmt w:val="decimal"/>
      </w:endnotePr>
      <w:type w:val="nextPage"/>
      <w:pgSz w:w="16838" w:h="11906" w:code="0" w:orient="landscape"/>
      <w:pgMar w:left="922" w:right="724" w:top="827" w:bottom="1440" w:header="708" w:footer="708" w:gutter="0"/>
      <w:pgNumType w:start="1" w:chapSep="period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  <w:endnote w:id="1">
    <w:p>
      <w:pPr>
        <w:pStyle w:val="P10"/>
      </w:pPr>
      <w:r>
        <w:rPr>
          <w:rStyle w:val="C8"/>
          <w:rFonts w:ascii="Times New Roman" w:hAnsi="Times New Roman"/>
        </w:rPr>
        <w:endnoteRef/>
      </w:r>
      <w:r>
        <w:t xml:space="preserve"> </w:t>
      </w:r>
      <w:r>
        <w:rPr>
          <w:rFonts w:ascii="Times New Roman" w:hAnsi="Times New Roman"/>
          <w:color w:val="000000"/>
        </w:rPr>
        <w:t>Відповідальний за облік сертифікатів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отриманих працівниками Нацсоцслужби за результатами проходження онлайн курсів</w:t>
      </w:r>
      <w:r>
        <w:rPr>
          <w:rFonts w:ascii="Times New Roman" w:hAnsi="Times New Roman"/>
          <w:color w:val="000000"/>
        </w:rPr>
        <w:t>.</w:t>
      </w:r>
    </w:p>
  </w:endnote>
  <w:endnote w:id="2">
    <w:p>
      <w:pPr>
        <w:pStyle w:val="P10"/>
      </w:pPr>
      <w:r>
        <w:rPr>
          <w:rStyle w:val="C8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Д</w:t>
      </w:r>
      <w:r>
        <w:rPr>
          <w:rFonts w:ascii="Times New Roman" w:hAnsi="Times New Roman"/>
          <w:color w:val="000000"/>
        </w:rPr>
        <w:t>ля працівників Нацсоцслужби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призначених на посади з квітня 2025 р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</w:p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1"/>
      <w:framePr w:wrap="none" w:vAnchor="text" w:hAnchor="margin" w:x="0" w:y="1"/>
      <w:rPr>
        <w:rStyle w:val="C10"/>
        <w:rFonts w:ascii="Times New Roman" w:hAnsi="Times New Roman"/>
      </w:rPr>
    </w:pPr>
    <w:r>
      <w:rPr>
        <w:rStyle w:val="C10"/>
        <w:rFonts w:ascii="Times New Roman" w:hAnsi="Times New Roman"/>
      </w:rPr>
      <w:fldChar w:fldCharType="begin"/>
    </w:r>
    <w:r>
      <w:rPr>
        <w:rStyle w:val="C10"/>
        <w:rFonts w:ascii="Times New Roman" w:hAnsi="Times New Roman"/>
      </w:rPr>
      <w:instrText xml:space="preserve"> PAGE </w:instrText>
    </w:r>
    <w:r>
      <w:rPr>
        <w:rStyle w:val="C10"/>
        <w:rFonts w:ascii="Times New Roman" w:hAnsi="Times New Roman"/>
      </w:rPr>
      <w:fldChar w:fldCharType="separate"/>
    </w:r>
    <w:r>
      <w:rPr>
        <w:rStyle w:val="C10"/>
        <w:rFonts w:ascii="Times New Roman" w:hAnsi="Times New Roman"/>
      </w:rPr>
      <w:t>#</w:t>
    </w:r>
    <w:r>
      <w:rPr>
        <w:rStyle w:val="C10"/>
        <w:rFonts w:ascii="Times New Roman" w:hAnsi="Times New Roman"/>
      </w:rPr>
      <w:fldChar w:fldCharType="end"/>
    </w:r>
  </w:p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513" w:leader="none"/>
        <w:tab w:val="right" w:pos="9026" w:leader="none"/>
      </w:tabs>
      <w:ind w:right="360"/>
      <w:rPr>
        <w:rFonts w:ascii="Times New Roman" w:hAnsi="Times New Roman"/>
        <w:color w:val="000000"/>
      </w:rPr>
    </w:pPr>
  </w:p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513" w:leader="none"/>
        <w:tab w:val="right" w:pos="9026" w:leader="none"/>
      </w:tabs>
      <w:ind w:right="360"/>
      <w:rPr>
        <w:color w:val="000000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1"/>
      <w:framePr w:wrap="none" w:vAnchor="text" w:hAnchor="margin" w:x="0" w:y="1"/>
      <w:rPr>
        <w:rStyle w:val="C10"/>
      </w:rPr>
    </w:pPr>
    <w:r>
      <w:rPr>
        <w:rStyle w:val="C10"/>
      </w:rPr>
      <w:fldChar w:fldCharType="begin"/>
    </w:r>
    <w:r>
      <w:rPr>
        <w:rStyle w:val="C10"/>
      </w:rPr>
      <w:instrText xml:space="preserve"> PAGE </w:instrText>
    </w:r>
    <w:r>
      <w:rPr>
        <w:rStyle w:val="C10"/>
      </w:rPr>
      <w:fldChar w:fldCharType="separate"/>
    </w:r>
    <w:r>
      <w:rPr>
        <w:rStyle w:val="C10"/>
      </w:rPr>
      <w:t>#</w:t>
    </w:r>
    <w:r>
      <w:rPr>
        <w:rStyle w:val="C10"/>
      </w:rPr>
      <w:fldChar w:fldCharType="end"/>
    </w:r>
  </w:p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513" w:leader="none"/>
        <w:tab w:val="right" w:pos="9026" w:leader="none"/>
      </w:tabs>
      <w:ind w:right="360"/>
      <w:jc w:val="right"/>
      <w:rPr>
        <w:color w:val="000000"/>
      </w:rPr>
    </w:pPr>
  </w:p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513" w:leader="none"/>
        <w:tab w:val="right" w:pos="9026" w:leader="none"/>
      </w:tabs>
      <w:ind w:right="360"/>
      <w:rPr>
        <w:color w:val="000000"/>
      </w:rPr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2"/>
      <w:framePr w:wrap="none" w:vAnchor="text" w:hAnchor="margin" w:x="0" w:y="1"/>
      <w:rPr>
        <w:rStyle w:val="C10"/>
        <w:rFonts w:ascii="Times New Roman" w:hAnsi="Times New Roman"/>
      </w:rPr>
    </w:pPr>
    <w:r>
      <w:rPr>
        <w:rStyle w:val="C10"/>
        <w:rFonts w:ascii="Times New Roman" w:hAnsi="Times New Roman"/>
      </w:rPr>
      <w:fldChar w:fldCharType="begin"/>
    </w:r>
    <w:r>
      <w:rPr>
        <w:rStyle w:val="C10"/>
        <w:rFonts w:ascii="Times New Roman" w:hAnsi="Times New Roman"/>
      </w:rPr>
      <w:instrText xml:space="preserve"> PAGE </w:instrText>
    </w:r>
    <w:r>
      <w:rPr>
        <w:rStyle w:val="C10"/>
        <w:rFonts w:ascii="Times New Roman" w:hAnsi="Times New Roman"/>
      </w:rPr>
      <w:fldChar w:fldCharType="separate"/>
    </w:r>
    <w:r>
      <w:rPr>
        <w:rStyle w:val="C10"/>
        <w:rFonts w:ascii="Times New Roman" w:hAnsi="Times New Roman"/>
      </w:rPr>
      <w:t>#</w:t>
    </w:r>
    <w:r>
      <w:rPr>
        <w:rStyle w:val="C10"/>
        <w:rFonts w:ascii="Times New Roman" w:hAnsi="Times New Roman"/>
      </w:rPr>
      <w:fldChar w:fldCharType="end"/>
    </w:r>
  </w:p>
  <w:p>
    <w:pPr>
      <w:pStyle w:val="P12"/>
      <w:tabs>
        <w:tab w:val="clear" w:pos="4513" w:leader="none"/>
        <w:tab w:val="clear" w:pos="9026" w:leader="none"/>
        <w:tab w:val="left" w:pos="13041" w:leader="none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Продовження додатка 2</w:t>
    </w:r>
  </w:p>
  <w:p>
    <w:pPr>
      <w:pStyle w:val="P1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2"/>
      <w:framePr w:wrap="none" w:vAnchor="text" w:hAnchor="margin" w:x="0" w:y="1"/>
      <w:rPr>
        <w:rStyle w:val="C10"/>
      </w:rPr>
    </w:pPr>
    <w:r>
      <w:rPr>
        <w:rStyle w:val="C10"/>
      </w:rPr>
      <w:fldChar w:fldCharType="begin"/>
    </w:r>
    <w:r>
      <w:rPr>
        <w:rStyle w:val="C10"/>
      </w:rPr>
      <w:instrText xml:space="preserve"> PAGE </w:instrText>
    </w:r>
    <w:r>
      <w:rPr>
        <w:rStyle w:val="C10"/>
      </w:rPr>
      <w:fldChar w:fldCharType="separate"/>
    </w:r>
    <w:r>
      <w:rPr>
        <w:rStyle w:val="C10"/>
      </w:rPr>
      <w:t>#</w:t>
    </w:r>
    <w:r>
      <w:rPr>
        <w:rStyle w:val="C10"/>
      </w:rPr>
      <w:fldChar w:fldCharType="end"/>
    </w:r>
  </w:p>
  <w:p>
    <w:pPr>
      <w:pStyle w:val="P12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numFmt w:val="decimal"/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4"/>
        <w:szCs w:val="24"/>
        <w:lang w:val="uk-UA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qFormat/>
    <w:pPr>
      <w:keepNext w:val="1"/>
      <w:keepLines w:val="1"/>
      <w:spacing w:before="480" w:after="120" w:beforeAutospacing="0" w:afterAutospacing="0"/>
      <w:outlineLvl w:val="0"/>
    </w:pPr>
    <w:rPr>
      <w:b w:val="1"/>
      <w:sz w:val="48"/>
      <w:szCs w:val="48"/>
    </w:rPr>
  </w:style>
  <w:style w:type="paragraph" w:styleId="P2">
    <w:name w:val="heading 2"/>
    <w:basedOn w:val="P0"/>
    <w:next w:val="P0"/>
    <w:semiHidden/>
    <w:qFormat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next w:val="P0"/>
    <w:semiHidden/>
    <w:qFormat/>
    <w:pPr>
      <w:keepNext w:val="1"/>
      <w:keepLines w:val="1"/>
      <w:spacing w:before="280" w:after="80" w:beforeAutospacing="0" w:afterAutospacing="0"/>
      <w:outlineLvl w:val="2"/>
    </w:pPr>
    <w:rPr>
      <w:b w:val="1"/>
      <w:sz w:val="28"/>
      <w:szCs w:val="28"/>
    </w:rPr>
  </w:style>
  <w:style w:type="paragraph" w:styleId="P4">
    <w:name w:val="heading 4"/>
    <w:basedOn w:val="P0"/>
    <w:next w:val="P0"/>
    <w:semiHidden/>
    <w:qFormat/>
    <w:pPr>
      <w:keepNext w:val="1"/>
      <w:keepLines w:val="1"/>
      <w:spacing w:before="240" w:after="40" w:beforeAutospacing="0" w:afterAutospacing="0"/>
      <w:outlineLvl w:val="3"/>
    </w:pPr>
    <w:rPr>
      <w:b w:val="1"/>
    </w:rPr>
  </w:style>
  <w:style w:type="paragraph" w:styleId="P5">
    <w:name w:val="heading 5"/>
    <w:basedOn w:val="P0"/>
    <w:next w:val="P0"/>
    <w:semiHidden/>
    <w:qFormat/>
    <w:pPr>
      <w:keepNext w:val="1"/>
      <w:keepLines w:val="1"/>
      <w:spacing w:before="220" w:after="40" w:beforeAutospacing="0" w:afterAutospacing="0"/>
      <w:outlineLvl w:val="4"/>
    </w:pPr>
    <w:rPr>
      <w:b w:val="1"/>
      <w:sz w:val="22"/>
      <w:szCs w:val="22"/>
    </w:rPr>
  </w:style>
  <w:style w:type="paragraph" w:styleId="P6">
    <w:name w:val="heading 6"/>
    <w:basedOn w:val="P0"/>
    <w:next w:val="P0"/>
    <w:semiHidden/>
    <w:qFormat/>
    <w:pPr>
      <w:keepNext w:val="1"/>
      <w:keepLines w:val="1"/>
      <w:spacing w:before="200" w:after="40" w:beforeAutospacing="0" w:afterAutospacing="0"/>
      <w:outlineLvl w:val="5"/>
    </w:pPr>
    <w:rPr>
      <w:b w:val="1"/>
      <w:sz w:val="20"/>
      <w:szCs w:val="20"/>
    </w:rPr>
  </w:style>
  <w:style w:type="paragraph" w:styleId="P7">
    <w:name w:val="Title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8">
    <w:name w:val="Normal (Web)"/>
    <w:basedOn w:val="P0"/>
    <w:pPr>
      <w:spacing w:before="100" w:after="100" w:beforeAutospacing="1" w:afterAutospacing="1"/>
    </w:pPr>
    <w:rPr>
      <w:rFonts w:ascii="Times New Roman" w:hAnsi="Times New Roman"/>
    </w:rPr>
  </w:style>
  <w:style w:type="paragraph" w:styleId="P9">
    <w:name w:val="footnote text"/>
    <w:basedOn w:val="P0"/>
    <w:link w:val="C5"/>
    <w:semiHidden/>
    <w:pPr/>
    <w:rPr>
      <w:sz w:val="20"/>
      <w:szCs w:val="20"/>
    </w:rPr>
  </w:style>
  <w:style w:type="paragraph" w:styleId="P10">
    <w:name w:val="endnote text"/>
    <w:basedOn w:val="P0"/>
    <w:link w:val="C7"/>
    <w:semiHidden/>
    <w:pPr/>
    <w:rPr>
      <w:sz w:val="20"/>
      <w:szCs w:val="20"/>
    </w:rPr>
  </w:style>
  <w:style w:type="paragraph" w:styleId="P11">
    <w:name w:val="footer"/>
    <w:basedOn w:val="P0"/>
    <w:link w:val="C9"/>
    <w:pPr>
      <w:tabs>
        <w:tab w:val="center" w:pos="4513" w:leader="none"/>
        <w:tab w:val="right" w:pos="9026" w:leader="none"/>
      </w:tabs>
    </w:pPr>
    <w:rPr/>
  </w:style>
  <w:style w:type="paragraph" w:styleId="P12">
    <w:name w:val="header"/>
    <w:basedOn w:val="P0"/>
    <w:link w:val="C11"/>
    <w:pPr>
      <w:tabs>
        <w:tab w:val="center" w:pos="4513" w:leader="none"/>
        <w:tab w:val="right" w:pos="9026" w:leader="none"/>
      </w:tabs>
    </w:pPr>
    <w:rPr/>
  </w:style>
  <w:style w:type="paragraph" w:styleId="P13">
    <w:name w:val="Subtitle"/>
    <w:basedOn w:val="P0"/>
    <w:next w:val="P0"/>
    <w:qFormat/>
    <w:pPr>
      <w:keepNext w:val="1"/>
      <w:keepLines w:val="1"/>
      <w:spacing w:before="360" w:after="80" w:beforeAutospacing="0" w:afterAutospacing="0"/>
    </w:pPr>
    <w:rPr>
      <w:rFonts w:ascii="Georgia" w:hAnsi="Georgia"/>
      <w:i w:val="1"/>
      <w:color w:val="666666"/>
      <w:sz w:val="48"/>
      <w:szCs w:val="4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 w:themeColor="hyperlink"/>
      <w:u w:val="single"/>
    </w:rPr>
  </w:style>
  <w:style w:type="character" w:styleId="C3">
    <w:name w:val="apple-converted-space"/>
    <w:basedOn w:val="C0"/>
    <w:rPr/>
  </w:style>
  <w:style w:type="character" w:styleId="C4">
    <w:name w:val="Unresolved Mention"/>
    <w:basedOn w:val="C0"/>
    <w:semiHidden/>
    <w:rPr>
      <w:color w:val="605E5C"/>
      <w:shd w:val="clear" w:color="auto" w:fill="E1DFDD"/>
    </w:rPr>
  </w:style>
  <w:style w:type="character" w:styleId="C5">
    <w:name w:val="Текст виноски Знак"/>
    <w:basedOn w:val="C0"/>
    <w:link w:val="P9"/>
    <w:semiHidden/>
    <w:rPr>
      <w:sz w:val="20"/>
      <w:szCs w:val="20"/>
    </w:rPr>
  </w:style>
  <w:style w:type="character" w:styleId="C6">
    <w:name w:val="footnote reference"/>
    <w:basedOn w:val="C0"/>
    <w:semiHidden/>
    <w:rPr>
      <w:vertAlign w:val="superscript"/>
    </w:rPr>
  </w:style>
  <w:style w:type="character" w:styleId="C7">
    <w:name w:val="Текст кінцевої виноски Знак"/>
    <w:basedOn w:val="C0"/>
    <w:link w:val="P10"/>
    <w:semiHidden/>
    <w:rPr>
      <w:sz w:val="20"/>
      <w:szCs w:val="20"/>
    </w:rPr>
  </w:style>
  <w:style w:type="character" w:styleId="C8">
    <w:name w:val="endnote reference"/>
    <w:basedOn w:val="C0"/>
    <w:semiHidden/>
    <w:rPr>
      <w:vertAlign w:val="superscript"/>
    </w:rPr>
  </w:style>
  <w:style w:type="character" w:styleId="C9">
    <w:name w:val="Нижній колонтитул Знак"/>
    <w:basedOn w:val="C0"/>
    <w:link w:val="P11"/>
    <w:rPr/>
  </w:style>
  <w:style w:type="character" w:styleId="C10">
    <w:name w:val="page number"/>
    <w:basedOn w:val="C0"/>
    <w:semiHidden/>
    <w:rPr/>
  </w:style>
  <w:style w:type="character" w:styleId="C11">
    <w:name w:val="Верхній колонтитул Знак"/>
    <w:basedOn w:val="C0"/>
    <w:link w:val="P12"/>
    <w:rPr/>
  </w:style>
  <w:style w:type="character" w:styleId="C12">
    <w:name w:val="Footnote Text Char"/>
    <w:semiHidden/>
    <w:rPr>
      <w:sz w:val="20"/>
      <w:szCs w:val="20"/>
    </w:rPr>
  </w:style>
  <w:style w:type="character" w:styleId="C13">
    <w:name w:val="Endnote Text Char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rPr>
      <w:sz w:val="22"/>
      <w:szCs w:val="22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Table Grid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4">
    <w:name w:val=""/>
    <w:basedOn w:val="T2"/>
    <w:tblPr>
      <w:tblStyleRowBandSize w:val="1"/>
      <w:tblStyleColBandSize w:val="1"/>
      <w:tblCellMar>
        <w:left w:w="108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https://shorturl.at/uvKY5" TargetMode="External" /><Relationship Id="R3" Type="http://schemas.openxmlformats.org/officeDocument/2006/relationships/hyperlink" Target="https://shorturl.at/Fgw04" TargetMode="External" /><Relationship Id="R4" Type="http://schemas.openxmlformats.org/officeDocument/2006/relationships/hyperlink" Target="https://shorturl.at/noX19" TargetMode="External" /><Relationship Id="R5" Type="http://schemas.openxmlformats.org/officeDocument/2006/relationships/hyperlink" Target="https://shorturl.at/di6f4" TargetMode="External" /><Relationship Id="R6" Type="http://schemas.openxmlformats.org/officeDocument/2006/relationships/hyperlink" Target="https://shorturl.at/gioFL" TargetMode="External" /><Relationship Id="R7" Type="http://schemas.openxmlformats.org/officeDocument/2006/relationships/hyperlink" Target="https://shorturl.at/evO37" TargetMode="External" /><Relationship Id="R8" Type="http://schemas.openxmlformats.org/officeDocument/2006/relationships/hyperlink" Target="https://shorturl.at/oxEW6" TargetMode="External" /><Relationship Id="R9" Type="http://schemas.openxmlformats.org/officeDocument/2006/relationships/hyperlink" Target="https://shorturl.at/TsvZ7" TargetMode="External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Relationship Id="RelItem2" Type="http://schemas.openxmlformats.org/officeDocument/2006/relationships/customXml" Target="../customXml/item2.xml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VjbzNYsvkF0ooV5v+Kh3WI/zRA==">CgMxLjA4AHIhMVk5WDEzYzFLcEJfbkJOZ2pSckVKYlpSVUNPMHl4M2hU</go:docsCustomData>
</go:gDocsCustomXmlDataStorage>
</file>

<file path=customXml/itemProps1.xml><?xml version="1.0" encoding="utf-8"?>
<ds:datastoreItem xmlns:ds="http://schemas.openxmlformats.org/officeDocument/2006/customXml" ds:itemID="{99864f98-3dbe-4cdc-93ff-14de19350231}">
  <ds:schemaRefs>
    <ds:schemaRef ds:uri="http://schemas.microsoft.com/vsto/sample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Kateryna Shcherbakova</dc:creator>
  <dcterms:created xsi:type="dcterms:W3CDTF">2023-08-18T11:42:00Z</dcterms:created>
  <cp:lastModifiedBy>askod</cp:lastModifiedBy>
  <cp:lastPrinted>2023-08-18T11:42:00Z</cp:lastPrinted>
  <dcterms:modified xsi:type="dcterms:W3CDTF">2024-08-20T14:18:45Z</dcterms:modified>
  <cp:revision>10</cp:revision>
</cp:coreProperties>
</file>